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85A" w:rsidRPr="00E5285A" w:rsidRDefault="00E5285A" w:rsidP="00E5285A">
      <w:pPr>
        <w:shd w:val="clear" w:color="auto" w:fill="FFFFFF"/>
        <w:spacing w:after="180" w:line="240" w:lineRule="auto"/>
        <w:jc w:val="center"/>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Ханты-Мансийский автономный округ – Югра</w:t>
      </w:r>
    </w:p>
    <w:p w:rsidR="00E5285A" w:rsidRPr="00E5285A" w:rsidRDefault="00E5285A" w:rsidP="00E5285A">
      <w:pPr>
        <w:shd w:val="clear" w:color="auto" w:fill="FFFFFF"/>
        <w:spacing w:after="180" w:line="240" w:lineRule="auto"/>
        <w:jc w:val="center"/>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Березовский район</w:t>
      </w:r>
    </w:p>
    <w:p w:rsidR="00E5285A" w:rsidRPr="00E5285A" w:rsidRDefault="00E5285A" w:rsidP="00E5285A">
      <w:pPr>
        <w:shd w:val="clear" w:color="auto" w:fill="FFFFFF"/>
        <w:spacing w:after="180" w:line="240" w:lineRule="auto"/>
        <w:jc w:val="center"/>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  СОВЕТ ДЕПУТАТОВ</w:t>
      </w:r>
    </w:p>
    <w:p w:rsidR="00E5285A" w:rsidRPr="00E5285A" w:rsidRDefault="00E5285A" w:rsidP="00E5285A">
      <w:pPr>
        <w:shd w:val="clear" w:color="auto" w:fill="FFFFFF"/>
        <w:spacing w:after="180" w:line="240" w:lineRule="auto"/>
        <w:jc w:val="center"/>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СЕЛЬСКОГО ПОСЕЛЕНИЯ  САРАНПАУЛЬ</w:t>
      </w:r>
    </w:p>
    <w:p w:rsidR="00E5285A" w:rsidRPr="00E5285A" w:rsidRDefault="00E5285A" w:rsidP="00E5285A">
      <w:pPr>
        <w:shd w:val="clear" w:color="auto" w:fill="FFFFFF"/>
        <w:spacing w:after="180" w:line="240" w:lineRule="auto"/>
        <w:jc w:val="center"/>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РЕШЕНИЕ</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56"/>
        <w:gridCol w:w="4599"/>
      </w:tblGrid>
      <w:tr w:rsidR="00E5285A" w:rsidRPr="00E5285A" w:rsidTr="00E5285A">
        <w:tc>
          <w:tcPr>
            <w:tcW w:w="5070" w:type="dxa"/>
            <w:shd w:val="clear" w:color="auto" w:fill="FFFFFF"/>
            <w:vAlign w:val="center"/>
            <w:hideMark/>
          </w:tcPr>
          <w:p w:rsidR="00E5285A" w:rsidRPr="00E5285A" w:rsidRDefault="00E5285A" w:rsidP="00E5285A">
            <w:pPr>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от 08.10.2021              </w:t>
            </w:r>
          </w:p>
        </w:tc>
        <w:tc>
          <w:tcPr>
            <w:tcW w:w="5070" w:type="dxa"/>
            <w:shd w:val="clear" w:color="auto" w:fill="FFFFFF"/>
            <w:vAlign w:val="center"/>
            <w:hideMark/>
          </w:tcPr>
          <w:p w:rsidR="00E5285A" w:rsidRPr="00E5285A" w:rsidRDefault="00E5285A" w:rsidP="00E5285A">
            <w:pPr>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156</w:t>
            </w:r>
          </w:p>
        </w:tc>
      </w:tr>
    </w:tbl>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Об утверждении Положения о муниципальном жилищном контроле на территории сельского поселения Саранпауль</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Саранпауль</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Совет поселения </w:t>
      </w:r>
      <w:r w:rsidRPr="00E5285A">
        <w:rPr>
          <w:rFonts w:ascii="Times New Roman" w:eastAsia="Times New Roman" w:hAnsi="Times New Roman" w:cs="Times New Roman"/>
          <w:b/>
          <w:bCs/>
          <w:color w:val="1E1D1E"/>
          <w:sz w:val="24"/>
          <w:szCs w:val="24"/>
          <w:lang w:eastAsia="ru-RU"/>
        </w:rPr>
        <w:t>РЕШИЛ</w:t>
      </w:r>
      <w:r w:rsidRPr="00E5285A">
        <w:rPr>
          <w:rFonts w:ascii="Times New Roman" w:eastAsia="Times New Roman" w:hAnsi="Times New Roman" w:cs="Times New Roman"/>
          <w:color w:val="1E1D1E"/>
          <w:sz w:val="24"/>
          <w:szCs w:val="24"/>
          <w:lang w:eastAsia="ru-RU"/>
        </w:rPr>
        <w:t>:</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w:t>
      </w:r>
    </w:p>
    <w:p w:rsidR="00E5285A" w:rsidRPr="00E5285A" w:rsidRDefault="00E5285A" w:rsidP="00E5285A">
      <w:pPr>
        <w:numPr>
          <w:ilvl w:val="0"/>
          <w:numId w:val="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Утвердить прилагаемое Положение о муниципальном жилищном контроле на территории сельского поселения Саранпауль.</w:t>
      </w:r>
    </w:p>
    <w:p w:rsidR="00E5285A" w:rsidRPr="00E5285A" w:rsidRDefault="00E5285A" w:rsidP="00E5285A">
      <w:pPr>
        <w:numPr>
          <w:ilvl w:val="0"/>
          <w:numId w:val="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на территории сельского поселения Саранпауль.</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Положения раздела 5 Положения о муниципальном жилищном контроле на территории сельского поселения Саранпауль вступают в силу с 1 марта 2022 года.</w:t>
      </w:r>
    </w:p>
    <w:p w:rsidR="00E5285A" w:rsidRPr="00E5285A" w:rsidRDefault="00E5285A" w:rsidP="00E5285A">
      <w:pPr>
        <w:numPr>
          <w:ilvl w:val="0"/>
          <w:numId w:val="2"/>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Опубликовать настоящее решение в официальном печатном средстве массовой информации органов местного самоуправления сельского поселения Саранпауль «Саранпаульский вестник» и обнародовать путем размещения в общественно доступных для населения местах и на официальном веб-сайте органов местного самоуправления муниципального образования сельское поселение Саранпауль.</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Глава сельского поселения                                              И.А. Сметанин</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lastRenderedPageBreak/>
        <w:br/>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                                                                                                          </w:t>
      </w:r>
      <w:r w:rsidRPr="00E5285A">
        <w:rPr>
          <w:rFonts w:ascii="Times New Roman" w:eastAsia="Times New Roman" w:hAnsi="Times New Roman" w:cs="Times New Roman"/>
          <w:color w:val="1E1D1E"/>
          <w:sz w:val="24"/>
          <w:szCs w:val="24"/>
          <w:lang w:eastAsia="ru-RU"/>
        </w:rPr>
        <w:t>УТВЕРЖДЕНО</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решением Совета депутатов</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сельского поселения Саранпауль</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от 08.10.2021 № 156</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Положение о муниципальном жилищном контроле</w:t>
      </w:r>
      <w:r w:rsidRPr="00E5285A">
        <w:rPr>
          <w:rFonts w:ascii="Times New Roman" w:eastAsia="Times New Roman" w:hAnsi="Times New Roman" w:cs="Times New Roman"/>
          <w:b/>
          <w:bCs/>
          <w:color w:val="1E1D1E"/>
          <w:sz w:val="24"/>
          <w:szCs w:val="24"/>
          <w:lang w:eastAsia="ru-RU"/>
        </w:rPr>
        <w:br/>
        <w:t>на территории сельского поселения Саранпауль</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w:t>
      </w:r>
    </w:p>
    <w:p w:rsidR="00E5285A" w:rsidRPr="00E5285A" w:rsidRDefault="00E5285A" w:rsidP="00E5285A">
      <w:pPr>
        <w:numPr>
          <w:ilvl w:val="0"/>
          <w:numId w:val="3"/>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Общие положения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1.1. Настоящее Положение устанавливает порядок осуществления муниципального жилищного контроля территории сельского поселения Саранпауль (далее – муниципальный жилищный контроль).</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 требований к формированию фондов капитального ремонта;</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10) требований к обеспечению доступности для инвалидов помещений в многоквартирных домах;</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11) требований к предоставлению жилых помещений в наемных домах социального использования.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1.3. Муниципальный жилищный контроль осуществляется администрацией сельского поселения Саранпауль (далее – администрация).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1.4. Должностными лицами администрации, уполномоченными осуществлять муниципальный жилищный контроль, являются муниципальный жилищный инспектор администрации сельского поселения Саранпауль (далее также – должностные лица, уполномоченные осуществлять контроль)</w:t>
      </w:r>
      <w:r w:rsidRPr="00E5285A">
        <w:rPr>
          <w:rFonts w:ascii="Times New Roman" w:eastAsia="Times New Roman" w:hAnsi="Times New Roman" w:cs="Times New Roman"/>
          <w:i/>
          <w:iCs/>
          <w:color w:val="1E1D1E"/>
          <w:sz w:val="24"/>
          <w:szCs w:val="24"/>
          <w:lang w:eastAsia="ru-RU"/>
        </w:rPr>
        <w:t>.</w:t>
      </w:r>
      <w:r w:rsidRPr="00E5285A">
        <w:rPr>
          <w:rFonts w:ascii="Times New Roman" w:eastAsia="Times New Roman" w:hAnsi="Times New Roman" w:cs="Times New Roman"/>
          <w:color w:val="1E1D1E"/>
          <w:sz w:val="24"/>
          <w:szCs w:val="24"/>
          <w:lang w:eastAsia="ru-RU"/>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1.6. Объектами муниципального жилищного контроля являются: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w:t>
      </w:r>
      <w:r w:rsidRPr="00E5285A">
        <w:rPr>
          <w:rFonts w:ascii="Times New Roman" w:eastAsia="Times New Roman" w:hAnsi="Times New Roman" w:cs="Times New Roman"/>
          <w:color w:val="1E1D1E"/>
          <w:sz w:val="24"/>
          <w:szCs w:val="24"/>
          <w:lang w:eastAsia="ru-RU"/>
        </w:rPr>
        <w:lastRenderedPageBreak/>
        <w:t>фонда, и другие объекты, к которым предъявляются обязательные требования, указанные в подпунктах 1 – 11 пункта 1.2 настоящего Положения.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1.8. Система оценки и управления рисками при осуществлении муниципального жилищного контроля не применяется.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w:t>
      </w:r>
    </w:p>
    <w:p w:rsidR="00E5285A" w:rsidRPr="00E5285A" w:rsidRDefault="00E5285A" w:rsidP="00E5285A">
      <w:pPr>
        <w:numPr>
          <w:ilvl w:val="0"/>
          <w:numId w:val="4"/>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Профилактика рисков причинения вреда (ущерба) охраняемым законом ценностям</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2.1. Администрация осуществляет муниципальный жилищный контроль, в том числе посредством проведения профилактических мероприятий.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сельского поселения Саранпауль для принятия решения о проведении контрольных мероприятий.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2.5. При осуществлении администрацией муниципального жилищного контроля могут проводиться следующие виды профилактических мероприятий: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 информирование;</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 обобщение правоприменительной практики;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 объявление предостережений;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4) консультирование;</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5) профилактический визит.</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(http://саранпауль-адм.рф/)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E5285A">
          <w:rPr>
            <w:rFonts w:ascii="Times New Roman" w:eastAsia="Times New Roman" w:hAnsi="Times New Roman" w:cs="Times New Roman"/>
            <w:color w:val="008040"/>
            <w:sz w:val="24"/>
            <w:szCs w:val="24"/>
            <w:u w:val="single"/>
            <w:lang w:eastAsia="ru-RU"/>
          </w:rPr>
          <w:t>частью 3 статьи 46</w:t>
        </w:r>
      </w:hyperlink>
      <w:r w:rsidRPr="00E5285A">
        <w:rPr>
          <w:rFonts w:ascii="Times New Roman" w:eastAsia="Times New Roman" w:hAnsi="Times New Roman" w:cs="Times New Roman"/>
          <w:color w:val="1E1D1E"/>
          <w:sz w:val="24"/>
          <w:szCs w:val="24"/>
          <w:lang w:eastAsia="ru-RU"/>
        </w:rPr>
        <w:t> Федерального закона от 31.07.2020 № 248-ФЗ «О государственном контроле (надзоре) и муниципальном контроле в Российской Федерации».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Администрация также вправе информировать население сельского поселения Саранпауль на собраниях и конференциях граждан об обязательных требованиях, предъявляемых к объектам контроля.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сельского поседения Саранпауль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E5285A">
        <w:rPr>
          <w:rFonts w:ascii="Arial" w:eastAsia="Times New Roman" w:hAnsi="Arial" w:cs="Arial"/>
          <w:color w:val="1E1D1E"/>
          <w:sz w:val="23"/>
          <w:szCs w:val="23"/>
          <w:lang w:eastAsia="ru-RU"/>
        </w:rPr>
        <w:br/>
      </w:r>
      <w:r w:rsidRPr="00E5285A">
        <w:rPr>
          <w:rFonts w:ascii="Times New Roman" w:eastAsia="Times New Roman" w:hAnsi="Times New Roman" w:cs="Times New Roman"/>
          <w:color w:val="1E1D1E"/>
          <w:sz w:val="24"/>
          <w:szCs w:val="24"/>
          <w:lang w:eastAsia="ru-RU"/>
        </w:rPr>
        <w:t>«О типовых формах документов, используемых контрольным (надзорным) органом».</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w:t>
      </w:r>
      <w:r w:rsidRPr="00E5285A">
        <w:rPr>
          <w:rFonts w:ascii="Times New Roman" w:eastAsia="Times New Roman" w:hAnsi="Times New Roman" w:cs="Times New Roman"/>
          <w:color w:val="1E1D1E"/>
          <w:sz w:val="24"/>
          <w:szCs w:val="24"/>
          <w:lang w:eastAsia="ru-RU"/>
        </w:rPr>
        <w:lastRenderedPageBreak/>
        <w:t>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Личный прием граждан проводится главой (заместителем главы) сельского поселения Саранпауль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Консультирование осуществляется в устной или письменной форме по следующим вопросам:</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 организация и осуществление муниципального жилищного контроля;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 порядок осуществления контрольных мероприятий, установленных настоящим Положением;</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 за время консультирования предоставить в устной форме ответ на поставленные вопросы невозможно;</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 ответ на поставленные вопросы требует дополнительного запроса сведений.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w:t>
      </w:r>
      <w:r w:rsidRPr="00E5285A">
        <w:rPr>
          <w:rFonts w:ascii="Times New Roman" w:eastAsia="Times New Roman" w:hAnsi="Times New Roman" w:cs="Times New Roman"/>
          <w:color w:val="1E1D1E"/>
          <w:sz w:val="24"/>
          <w:szCs w:val="24"/>
          <w:lang w:eastAsia="ru-RU"/>
        </w:rPr>
        <w:lastRenderedPageBreak/>
        <w:t>контрольного мероприятия, а также результаты проведенных в рамках контрольного мероприятия экспертизы, испытаний.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сельского поселения Саранпауль или должностным лицом, уполномоченным осуществлять муниципальный жилищный контроль.</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w:t>
      </w:r>
    </w:p>
    <w:p w:rsidR="00E5285A" w:rsidRPr="00E5285A" w:rsidRDefault="00E5285A" w:rsidP="00E5285A">
      <w:pPr>
        <w:numPr>
          <w:ilvl w:val="0"/>
          <w:numId w:val="5"/>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Осуществление контрольных мероприятий и контрольных действий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 документарная проверка (посредством получения письменных объяснений, истребования документов, экспертизы);</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lastRenderedPageBreak/>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Внеплановые контрольные мероприятия могут проводиться только после согласования с органами прокуратуры.</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w:t>
      </w:r>
      <w:r w:rsidRPr="00E5285A">
        <w:rPr>
          <w:rFonts w:ascii="Times New Roman" w:eastAsia="Times New Roman" w:hAnsi="Times New Roman" w:cs="Times New Roman"/>
          <w:color w:val="1E1D1E"/>
          <w:sz w:val="24"/>
          <w:szCs w:val="24"/>
          <w:lang w:eastAsia="ru-RU"/>
        </w:rPr>
        <w:lastRenderedPageBreak/>
        <w:t>сделать вывод об исполнении предписания об устранении выявленного нарушения обязательных требований.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3.5. Индикаторы риска нарушения обязательных требований указаны в приложении № 1 к настоящему Положению.</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сельского поселения Саранпауль, задания, содержащегося в планах работы администрации, в том числе в случаях, установленных Федеральным </w:t>
      </w:r>
      <w:hyperlink r:id="rId6" w:history="1">
        <w:r w:rsidRPr="00E5285A">
          <w:rPr>
            <w:rFonts w:ascii="Times New Roman" w:eastAsia="Times New Roman" w:hAnsi="Times New Roman" w:cs="Times New Roman"/>
            <w:color w:val="008040"/>
            <w:sz w:val="24"/>
            <w:szCs w:val="24"/>
            <w:u w:val="single"/>
            <w:lang w:eastAsia="ru-RU"/>
          </w:rPr>
          <w:t>законом</w:t>
        </w:r>
      </w:hyperlink>
      <w:r w:rsidRPr="00E5285A">
        <w:rPr>
          <w:rFonts w:ascii="Times New Roman" w:eastAsia="Times New Roman" w:hAnsi="Times New Roman" w:cs="Times New Roman"/>
          <w:color w:val="1E1D1E"/>
          <w:sz w:val="24"/>
          <w:szCs w:val="24"/>
          <w:lang w:eastAsia="ru-RU"/>
        </w:rPr>
        <w:t> от 31.07.2020 № 248-ФЗ «О государственном контроле (надзоре) и муниципальном контроле в Российской Федерации».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sidRPr="00E5285A">
          <w:rPr>
            <w:rFonts w:ascii="Times New Roman" w:eastAsia="Times New Roman" w:hAnsi="Times New Roman" w:cs="Times New Roman"/>
            <w:color w:val="008040"/>
            <w:sz w:val="24"/>
            <w:szCs w:val="24"/>
            <w:u w:val="single"/>
            <w:lang w:eastAsia="ru-RU"/>
          </w:rPr>
          <w:t>законом</w:t>
        </w:r>
      </w:hyperlink>
      <w:r w:rsidRPr="00E5285A">
        <w:rPr>
          <w:rFonts w:ascii="Times New Roman" w:eastAsia="Times New Roman" w:hAnsi="Times New Roman" w:cs="Times New Roman"/>
          <w:color w:val="1E1D1E"/>
          <w:sz w:val="24"/>
          <w:szCs w:val="24"/>
          <w:lang w:eastAsia="ru-RU"/>
        </w:rPr>
        <w:t> от 31.07.2020 № 248-ФЗ «О государственном контроле (надзоре) и муниципальном контроле в Российской Федерации», Жилищным кодексом Российской Федерации.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8" w:history="1">
        <w:r w:rsidRPr="00E5285A">
          <w:rPr>
            <w:rFonts w:ascii="Times New Roman" w:eastAsia="Times New Roman" w:hAnsi="Times New Roman" w:cs="Times New Roman"/>
            <w:color w:val="008040"/>
            <w:sz w:val="24"/>
            <w:szCs w:val="24"/>
            <w:u w:val="single"/>
            <w:lang w:eastAsia="ru-RU"/>
          </w:rPr>
          <w:t>Правилами</w:t>
        </w:r>
      </w:hyperlink>
      <w:r w:rsidRPr="00E5285A">
        <w:rPr>
          <w:rFonts w:ascii="Times New Roman" w:eastAsia="Times New Roman" w:hAnsi="Times New Roman" w:cs="Times New Roman"/>
          <w:color w:val="1E1D1E"/>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w:t>
      </w:r>
      <w:r w:rsidRPr="00E5285A">
        <w:rPr>
          <w:rFonts w:ascii="Times New Roman" w:eastAsia="Times New Roman" w:hAnsi="Times New Roman" w:cs="Times New Roman"/>
          <w:color w:val="1E1D1E"/>
          <w:sz w:val="24"/>
          <w:szCs w:val="24"/>
          <w:lang w:eastAsia="ru-RU"/>
        </w:rPr>
        <w:lastRenderedPageBreak/>
        <w:t>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3.12. Срок проведения выездной проверки не может превышать 10 рабочих дней.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E5285A">
          <w:rPr>
            <w:rFonts w:ascii="Times New Roman" w:eastAsia="Times New Roman" w:hAnsi="Times New Roman" w:cs="Times New Roman"/>
            <w:color w:val="008040"/>
            <w:sz w:val="24"/>
            <w:szCs w:val="24"/>
            <w:u w:val="single"/>
            <w:lang w:eastAsia="ru-RU"/>
          </w:rPr>
          <w:t>частью 2 статьи 90</w:t>
        </w:r>
      </w:hyperlink>
      <w:r w:rsidRPr="00E5285A">
        <w:rPr>
          <w:rFonts w:ascii="Times New Roman" w:eastAsia="Times New Roman" w:hAnsi="Times New Roman" w:cs="Times New Roman"/>
          <w:color w:val="1E1D1E"/>
          <w:sz w:val="24"/>
          <w:szCs w:val="24"/>
          <w:lang w:eastAsia="ru-RU"/>
        </w:rPr>
        <w:t xml:space="preserve"> Федерального </w:t>
      </w:r>
      <w:r w:rsidRPr="00E5285A">
        <w:rPr>
          <w:rFonts w:ascii="Times New Roman" w:eastAsia="Times New Roman" w:hAnsi="Times New Roman" w:cs="Times New Roman"/>
          <w:color w:val="1E1D1E"/>
          <w:sz w:val="24"/>
          <w:szCs w:val="24"/>
          <w:lang w:eastAsia="ru-RU"/>
        </w:rPr>
        <w:lastRenderedPageBreak/>
        <w:t>закона от 31.07.2020 № 248-ФЗ «О государственном контроле (надзоре) и муниципальном контроле в Российской Федерации».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3.16. Информация о контрольных мероприятиях размещается в Едином реестре контрольных (надзорных) мероприятий.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w:t>
      </w:r>
      <w:r w:rsidRPr="00E5285A">
        <w:rPr>
          <w:rFonts w:ascii="Times New Roman" w:eastAsia="Times New Roman" w:hAnsi="Times New Roman" w:cs="Times New Roman"/>
          <w:color w:val="1E1D1E"/>
          <w:sz w:val="24"/>
          <w:szCs w:val="24"/>
          <w:lang w:eastAsia="ru-RU"/>
        </w:rPr>
        <w:lastRenderedPageBreak/>
        <w:t>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lastRenderedPageBreak/>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w:t>
      </w:r>
    </w:p>
    <w:p w:rsidR="00E5285A" w:rsidRPr="00E5285A" w:rsidRDefault="00E5285A" w:rsidP="00E5285A">
      <w:pPr>
        <w:numPr>
          <w:ilvl w:val="0"/>
          <w:numId w:val="6"/>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Обжалование решений администрации, действий (бездействия) должностных лиц, уполномоченных осуществлять муниципальный жилищный контроль</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w:t>
      </w:r>
    </w:p>
    <w:p w:rsidR="00E5285A" w:rsidRPr="00E5285A" w:rsidRDefault="00E5285A" w:rsidP="00E5285A">
      <w:pPr>
        <w:numPr>
          <w:ilvl w:val="0"/>
          <w:numId w:val="7"/>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Ключевые показатели муниципального жилищного контроля</w:t>
      </w:r>
      <w:r w:rsidRPr="00E5285A">
        <w:rPr>
          <w:rFonts w:ascii="Times New Roman" w:eastAsia="Times New Roman" w:hAnsi="Times New Roman" w:cs="Times New Roman"/>
          <w:b/>
          <w:bCs/>
          <w:color w:val="1E1D1E"/>
          <w:sz w:val="24"/>
          <w:szCs w:val="24"/>
          <w:lang w:eastAsia="ru-RU"/>
        </w:rPr>
        <w:br/>
        <w:t>и их целевые значения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5.2. В систему показателей результативности и эффективности деятельности контрольных органов входят:</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xml:space="preserve">         -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w:t>
      </w:r>
      <w:r w:rsidRPr="00E5285A">
        <w:rPr>
          <w:rFonts w:ascii="Times New Roman" w:eastAsia="Times New Roman" w:hAnsi="Times New Roman" w:cs="Times New Roman"/>
          <w:color w:val="1E1D1E"/>
          <w:sz w:val="24"/>
          <w:szCs w:val="24"/>
          <w:lang w:eastAsia="ru-RU"/>
        </w:rPr>
        <w:lastRenderedPageBreak/>
        <w:t>материальных и финансовых ресурсов, а также уровень вмешательства в деятельность контролируемых лиц.</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Показателем результативности и эффективности осуществления муниципального контроля являются:</w:t>
      </w:r>
    </w:p>
    <w:p w:rsidR="00E5285A" w:rsidRPr="00E5285A" w:rsidRDefault="00E5285A" w:rsidP="00E5285A">
      <w:pPr>
        <w:numPr>
          <w:ilvl w:val="0"/>
          <w:numId w:val="8"/>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Ключевые показатели и их целевые значения: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Доля устраненных нарушений из числа выявленных нарушений обязательных требований - 70%.</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Доля выполнения плана профилактики на очередной календарный год - 100%.</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Доля отмененных результатов контрольных мероприятий - 0%.</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5285A" w:rsidRPr="00E5285A" w:rsidRDefault="00E5285A" w:rsidP="00E5285A">
      <w:pPr>
        <w:numPr>
          <w:ilvl w:val="0"/>
          <w:numId w:val="9"/>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Индикативные показатели: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При осуществлении муниципального контроля устанавливаются следующие индикативные показатели: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количество проведенных контрольных мероприятий без взаимодействия с контролируемыми лицами;</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количество проведенных внеплановых контрольных мероприятий;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количество поступивших возражений в отношении акта контрольного мероприятия;</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количество выданных предписаний об устранении нарушений обязательных требований;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количество устраненных нарушений обязательных требований.</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Приложение № 1</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к Положению о муниципальном жилищном контроле</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на территории сельского поселения Саранпауль</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i/>
          <w:iCs/>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Индикаторы риска нарушения обязательных требований, используемые для определения необходимости проведения внеплановых</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проверок при осуществлении администрацией сельского поселения Саранпауль</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b/>
          <w:bCs/>
          <w:color w:val="1E1D1E"/>
          <w:sz w:val="24"/>
          <w:szCs w:val="24"/>
          <w:lang w:eastAsia="ru-RU"/>
        </w:rPr>
        <w:t>муниципального жилищного контроля на территории сельского поселения Саранпауль</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w:t>
      </w:r>
    </w:p>
    <w:p w:rsidR="00E5285A" w:rsidRPr="00E5285A" w:rsidRDefault="00E5285A" w:rsidP="00E5285A">
      <w:pPr>
        <w:numPr>
          <w:ilvl w:val="0"/>
          <w:numId w:val="10"/>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lastRenderedPageBreak/>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а) порядку осуществления перевода жилого помещения муниципального жилищного фонда в нежилое помещение;</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б) порядку осуществления перепланировки и (или) переустройства жилых помещений муниципального жилищного фонда в многоквартирном доме;</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г) обеспечению доступности для инвалидов жилых помещений муниципального жилищного фонда;</w:t>
      </w:r>
    </w:p>
    <w:p w:rsidR="00E5285A" w:rsidRPr="00E5285A" w:rsidRDefault="00E5285A" w:rsidP="00E5285A">
      <w:pPr>
        <w:shd w:val="clear" w:color="auto" w:fill="FFFFFF"/>
        <w:spacing w:after="180"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E5285A" w:rsidRPr="00E5285A" w:rsidRDefault="00E5285A" w:rsidP="00E5285A">
      <w:pPr>
        <w:numPr>
          <w:ilvl w:val="0"/>
          <w:numId w:val="1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E5285A" w:rsidRPr="00E5285A" w:rsidRDefault="00E5285A" w:rsidP="00E5285A">
      <w:pPr>
        <w:numPr>
          <w:ilvl w:val="0"/>
          <w:numId w:val="1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w:t>
      </w:r>
      <w:r w:rsidRPr="00E5285A">
        <w:rPr>
          <w:rFonts w:ascii="Times New Roman" w:eastAsia="Times New Roman" w:hAnsi="Times New Roman" w:cs="Times New Roman"/>
          <w:color w:val="1E1D1E"/>
          <w:sz w:val="24"/>
          <w:szCs w:val="24"/>
          <w:lang w:eastAsia="ru-RU"/>
        </w:rPr>
        <w:lastRenderedPageBreak/>
        <w:t>требований, установленных частью 1 статьи 20 Жилищного кодекса Российской Федерации.</w:t>
      </w:r>
    </w:p>
    <w:p w:rsidR="00E5285A" w:rsidRPr="00E5285A" w:rsidRDefault="00E5285A" w:rsidP="00E5285A">
      <w:pPr>
        <w:numPr>
          <w:ilvl w:val="0"/>
          <w:numId w:val="1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5285A" w:rsidRPr="00E5285A" w:rsidRDefault="00E5285A" w:rsidP="00E5285A">
      <w:pPr>
        <w:numPr>
          <w:ilvl w:val="0"/>
          <w:numId w:val="1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E5285A" w:rsidRPr="00E5285A" w:rsidRDefault="00E5285A" w:rsidP="00E5285A">
      <w:pPr>
        <w:numPr>
          <w:ilvl w:val="0"/>
          <w:numId w:val="1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E5285A">
        <w:rPr>
          <w:rFonts w:ascii="Times New Roman" w:eastAsia="Times New Roman" w:hAnsi="Times New Roman" w:cs="Times New Roman"/>
          <w:color w:val="1E1D1E"/>
          <w:sz w:val="24"/>
          <w:szCs w:val="24"/>
          <w:lang w:eastAsia="ru-RU"/>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E6AF1" w:rsidRDefault="005E6AF1">
      <w:bookmarkStart w:id="0" w:name="_GoBack"/>
      <w:bookmarkEnd w:id="0"/>
    </w:p>
    <w:sectPr w:rsidR="005E6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11A"/>
    <w:multiLevelType w:val="multilevel"/>
    <w:tmpl w:val="06FA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24F91"/>
    <w:multiLevelType w:val="multilevel"/>
    <w:tmpl w:val="7CD0C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7B5174"/>
    <w:multiLevelType w:val="multilevel"/>
    <w:tmpl w:val="18165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27D77"/>
    <w:multiLevelType w:val="multilevel"/>
    <w:tmpl w:val="14AA2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3A7E0A"/>
    <w:multiLevelType w:val="multilevel"/>
    <w:tmpl w:val="24ECBC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991F70"/>
    <w:multiLevelType w:val="multilevel"/>
    <w:tmpl w:val="81F642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096343"/>
    <w:multiLevelType w:val="multilevel"/>
    <w:tmpl w:val="B9FA4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320F57"/>
    <w:multiLevelType w:val="multilevel"/>
    <w:tmpl w:val="7C461A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9B73D1"/>
    <w:multiLevelType w:val="multilevel"/>
    <w:tmpl w:val="CB9463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6D027B"/>
    <w:multiLevelType w:val="multilevel"/>
    <w:tmpl w:val="A790B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FC2D9C"/>
    <w:multiLevelType w:val="multilevel"/>
    <w:tmpl w:val="074E9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0"/>
  </w:num>
  <w:num w:numId="4">
    <w:abstractNumId w:val="9"/>
  </w:num>
  <w:num w:numId="5">
    <w:abstractNumId w:val="7"/>
  </w:num>
  <w:num w:numId="6">
    <w:abstractNumId w:val="5"/>
  </w:num>
  <w:num w:numId="7">
    <w:abstractNumId w:val="4"/>
  </w:num>
  <w:num w:numId="8">
    <w:abstractNumId w:val="6"/>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CB"/>
    <w:rsid w:val="005E6AF1"/>
    <w:rsid w:val="00E5285A"/>
    <w:rsid w:val="00F17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66AA3-B192-4E9A-8A0C-EAA697DF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285A"/>
    <w:rPr>
      <w:b/>
      <w:bCs/>
    </w:rPr>
  </w:style>
  <w:style w:type="character" w:styleId="a5">
    <w:name w:val="Emphasis"/>
    <w:basedOn w:val="a0"/>
    <w:uiPriority w:val="20"/>
    <w:qFormat/>
    <w:rsid w:val="00E5285A"/>
    <w:rPr>
      <w:i/>
      <w:iCs/>
    </w:rPr>
  </w:style>
  <w:style w:type="character" w:styleId="a6">
    <w:name w:val="Hyperlink"/>
    <w:basedOn w:val="a0"/>
    <w:uiPriority w:val="99"/>
    <w:semiHidden/>
    <w:unhideWhenUsed/>
    <w:rsid w:val="00E528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6407</Words>
  <Characters>36523</Characters>
  <Application>Microsoft Office Word</Application>
  <DocSecurity>0</DocSecurity>
  <Lines>304</Lines>
  <Paragraphs>85</Paragraphs>
  <ScaleCrop>false</ScaleCrop>
  <Company/>
  <LinksUpToDate>false</LinksUpToDate>
  <CharactersWithSpaces>42845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2022-10-21T08:19:00Z</dcterms:created>
  <dcterms:modified xsi:type="dcterms:W3CDTF">2022-10-21T08:19:00Z</dcterms:modified>
</cp:coreProperties>
</file>